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147" w:afterAutospacing="0" w:line="264" w:lineRule="auto"/>
        <w:ind w:left="-5" w:right="0" w:hanging="10"/>
        <w:jc w:val="left"/>
        <w:rPr>
          <w:lang w:val="en-US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32"/>
          <w:szCs w:val="22"/>
          <w:lang w:val="en-US" w:eastAsia="zh-CN" w:bidi="ar"/>
        </w:rPr>
        <w:t>附件1</w:t>
      </w:r>
    </w:p>
    <w:p>
      <w:pPr>
        <w:pStyle w:val="2"/>
        <w:widowControl/>
        <w:spacing w:before="0" w:beforeAutospacing="0" w:after="0" w:afterAutospacing="0" w:line="264" w:lineRule="auto"/>
        <w:ind w:left="392" w:right="382"/>
        <w:jc w:val="center"/>
        <w:rPr>
          <w:lang w:val="en-US"/>
        </w:rPr>
      </w:pPr>
      <w:r>
        <w:rPr>
          <w:rFonts w:hint="eastAsia" w:ascii="微软雅黑" w:hAnsi="微软雅黑" w:eastAsia="微软雅黑" w:cs="微软雅黑"/>
          <w:sz w:val="44"/>
          <w:szCs w:val="22"/>
          <w:lang w:eastAsia="zh-CN"/>
        </w:rPr>
        <w:t>江苏省第六期</w:t>
      </w:r>
      <w:r>
        <w:rPr>
          <w:rFonts w:hint="eastAsia" w:ascii="微软雅黑" w:hAnsi="微软雅黑" w:eastAsia="微软雅黑" w:cs="微软雅黑"/>
          <w:sz w:val="44"/>
          <w:szCs w:val="22"/>
          <w:lang w:val="en-US"/>
        </w:rPr>
        <w:t>“333</w:t>
      </w:r>
      <w:r>
        <w:rPr>
          <w:rFonts w:hint="eastAsia" w:ascii="微软雅黑" w:hAnsi="微软雅黑" w:eastAsia="微软雅黑" w:cs="微软雅黑"/>
          <w:sz w:val="44"/>
          <w:szCs w:val="22"/>
          <w:lang w:eastAsia="zh-CN"/>
        </w:rPr>
        <w:t>工程</w:t>
      </w:r>
      <w:r>
        <w:rPr>
          <w:rFonts w:hint="eastAsia" w:ascii="微软雅黑" w:hAnsi="微软雅黑" w:eastAsia="微软雅黑" w:cs="微软雅黑"/>
          <w:sz w:val="44"/>
          <w:szCs w:val="22"/>
          <w:lang w:val="en-US"/>
        </w:rPr>
        <w:t>”</w:t>
      </w:r>
      <w:r>
        <w:rPr>
          <w:rFonts w:hint="eastAsia" w:ascii="微软雅黑" w:hAnsi="微软雅黑" w:eastAsia="微软雅黑" w:cs="微软雅黑"/>
          <w:sz w:val="44"/>
          <w:szCs w:val="22"/>
          <w:lang w:eastAsia="zh-CN"/>
        </w:rPr>
        <w:t>第三层次培养对象选拔推荐名额表</w:t>
      </w:r>
    </w:p>
    <w:tbl>
      <w:tblPr>
        <w:tblStyle w:val="6"/>
        <w:tblW w:w="8978" w:type="dxa"/>
        <w:tblInd w:w="1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02" w:type="dxa"/>
          <w:left w:w="307" w:type="dxa"/>
          <w:bottom w:w="0" w:type="dxa"/>
          <w:right w:w="307" w:type="dxa"/>
        </w:tblCellMar>
      </w:tblPr>
      <w:tblGrid>
        <w:gridCol w:w="2267"/>
        <w:gridCol w:w="1573"/>
        <w:gridCol w:w="3494"/>
        <w:gridCol w:w="1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2" w:type="dxa"/>
            <w:left w:w="307" w:type="dxa"/>
            <w:bottom w:w="0" w:type="dxa"/>
            <w:right w:w="307" w:type="dxa"/>
          </w:tblCellMar>
        </w:tblPrEx>
        <w:trPr>
          <w:trHeight w:val="567" w:hRule="atLeast"/>
        </w:trPr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2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59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名额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95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307" w:type="dxa"/>
            <w:bottom w:w="0" w:type="dxa"/>
            <w:right w:w="307" w:type="dxa"/>
          </w:tblCellMar>
        </w:tblPrEx>
        <w:trPr>
          <w:trHeight w:val="567" w:hRule="atLeast"/>
        </w:trPr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2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海安县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" w:right="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通州湾示范区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307" w:type="dxa"/>
            <w:bottom w:w="0" w:type="dxa"/>
            <w:right w:w="307" w:type="dxa"/>
          </w:tblCellMar>
        </w:tblPrEx>
        <w:trPr>
          <w:trHeight w:val="567" w:hRule="atLeast"/>
        </w:trPr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2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如皋市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" w:right="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苏锡通科技产业园区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307" w:type="dxa"/>
            <w:bottom w:w="0" w:type="dxa"/>
            <w:right w:w="307" w:type="dxa"/>
          </w:tblCellMar>
        </w:tblPrEx>
        <w:trPr>
          <w:trHeight w:val="567" w:hRule="atLeast"/>
        </w:trPr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2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" w:right="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61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市直宣传文化系统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307" w:type="dxa"/>
            <w:bottom w:w="0" w:type="dxa"/>
            <w:right w:w="307" w:type="dxa"/>
          </w:tblCellMar>
        </w:tblPrEx>
        <w:trPr>
          <w:trHeight w:val="567" w:hRule="atLeast"/>
        </w:trPr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2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启东市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" w:right="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市直教育系统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" w:right="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307" w:type="dxa"/>
            <w:bottom w:w="0" w:type="dxa"/>
            <w:right w:w="307" w:type="dxa"/>
          </w:tblCellMar>
        </w:tblPrEx>
        <w:trPr>
          <w:trHeight w:val="567" w:hRule="atLeast"/>
        </w:trPr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2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崇川区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" w:right="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市直农水系统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" w:right="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307" w:type="dxa"/>
            <w:bottom w:w="0" w:type="dxa"/>
            <w:right w:w="307" w:type="dxa"/>
          </w:tblCellMar>
        </w:tblPrEx>
        <w:trPr>
          <w:trHeight w:val="567" w:hRule="atLeast"/>
        </w:trPr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2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通州区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" w:right="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市直卫生系统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" w:right="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307" w:type="dxa"/>
            <w:bottom w:w="0" w:type="dxa"/>
            <w:right w:w="307" w:type="dxa"/>
          </w:tblCellMar>
        </w:tblPrEx>
        <w:trPr>
          <w:trHeight w:val="567" w:hRule="atLeast"/>
        </w:trPr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2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海门区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" w:right="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2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国资系统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" w:right="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307" w:type="dxa"/>
            <w:bottom w:w="0" w:type="dxa"/>
            <w:right w:w="307" w:type="dxa"/>
          </w:tblCellMar>
        </w:tblPrEx>
        <w:trPr>
          <w:trHeight w:val="567" w:hRule="atLeast"/>
        </w:trPr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2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开发区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" w:right="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2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市属高校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" w:right="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307" w:type="dxa"/>
            <w:bottom w:w="0" w:type="dxa"/>
            <w:right w:w="307" w:type="dxa"/>
          </w:tblCellMar>
        </w:tblPrEx>
        <w:trPr>
          <w:trHeight w:val="567" w:hRule="atLeast"/>
        </w:trPr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2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创新区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" w:right="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6" w:afterAutospacing="0" w:line="261" w:lineRule="auto"/>
        <w:ind w:left="-5" w:right="0" w:hanging="10"/>
        <w:jc w:val="left"/>
        <w:rPr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2"/>
          <w:lang w:val="en-US" w:eastAsia="zh-CN" w:bidi="ar"/>
        </w:rPr>
        <w:t>注：</w:t>
      </w:r>
      <w:r>
        <w:rPr>
          <w:rFonts w:hint="default" w:ascii="Times New Roman" w:hAnsi="Times New Roman" w:eastAsia="Times New Roman" w:cs="Times New Roman"/>
          <w:color w:val="000000"/>
          <w:kern w:val="2"/>
          <w:sz w:val="28"/>
          <w:szCs w:val="22"/>
          <w:lang w:val="en-US" w:eastAsia="zh-CN" w:bidi="ar"/>
        </w:rPr>
        <w:t>1.</w:t>
      </w:r>
      <w:r>
        <w:rPr>
          <w:rFonts w:hint="eastAsia" w:ascii="微软雅黑" w:hAnsi="微软雅黑" w:eastAsia="微软雅黑" w:cs="微软雅黑"/>
          <w:color w:val="000000"/>
          <w:kern w:val="2"/>
          <w:sz w:val="28"/>
          <w:szCs w:val="22"/>
          <w:lang w:val="en-US" w:eastAsia="zh-CN" w:bidi="ar"/>
        </w:rPr>
        <w:t>市直宣传文化系统包括市委宣传部、市文化广电和旅游局、社科联、文联等下属事业单位，牵头部门为市委宣传部。</w:t>
      </w:r>
    </w:p>
    <w:p>
      <w:pPr>
        <w:keepNext w:val="0"/>
        <w:keepLines w:val="0"/>
        <w:widowControl/>
        <w:suppressLineNumbers w:val="0"/>
        <w:spacing w:before="0" w:beforeAutospacing="0" w:after="6" w:afterAutospacing="0" w:line="261" w:lineRule="auto"/>
        <w:ind w:left="569" w:right="0" w:hanging="10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color w:val="000000"/>
          <w:kern w:val="2"/>
          <w:sz w:val="28"/>
          <w:szCs w:val="22"/>
          <w:lang w:val="en-US" w:eastAsia="zh-CN" w:bidi="ar"/>
        </w:rPr>
        <w:t>2.</w:t>
      </w:r>
      <w:r>
        <w:rPr>
          <w:rFonts w:hint="eastAsia" w:ascii="微软雅黑" w:hAnsi="微软雅黑" w:eastAsia="微软雅黑" w:cs="微软雅黑"/>
          <w:color w:val="000000"/>
          <w:kern w:val="2"/>
          <w:sz w:val="28"/>
          <w:szCs w:val="22"/>
          <w:lang w:val="en-US" w:eastAsia="zh-CN" w:bidi="ar"/>
        </w:rPr>
        <w:t>市直教育系统包括市教育局所属事业单位，牵头部门为市教育局。</w:t>
      </w:r>
    </w:p>
    <w:p>
      <w:pPr>
        <w:keepNext w:val="0"/>
        <w:keepLines w:val="0"/>
        <w:widowControl/>
        <w:suppressLineNumbers w:val="0"/>
        <w:spacing w:before="0" w:beforeAutospacing="0" w:after="6" w:afterAutospacing="0" w:line="261" w:lineRule="auto"/>
        <w:ind w:left="-15" w:right="0" w:firstLine="559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color w:val="000000"/>
          <w:kern w:val="2"/>
          <w:sz w:val="28"/>
          <w:szCs w:val="22"/>
          <w:lang w:val="en-US" w:eastAsia="zh-CN" w:bidi="ar"/>
        </w:rPr>
        <w:t>3.</w:t>
      </w:r>
      <w:r>
        <w:rPr>
          <w:rFonts w:hint="eastAsia" w:ascii="微软雅黑" w:hAnsi="微软雅黑" w:eastAsia="微软雅黑" w:cs="微软雅黑"/>
          <w:color w:val="000000"/>
          <w:kern w:val="2"/>
          <w:sz w:val="28"/>
          <w:szCs w:val="22"/>
          <w:lang w:val="en-US" w:eastAsia="zh-CN" w:bidi="ar"/>
        </w:rPr>
        <w:t>市直农水系统包括市农业农村局、水利局、海洋渔业指挥部等下属事业单位，海洋水产研究所，沿江农科所，牵头部门为市农业农村局。</w:t>
      </w:r>
    </w:p>
    <w:p>
      <w:pPr>
        <w:keepNext w:val="0"/>
        <w:keepLines w:val="0"/>
        <w:widowControl/>
        <w:suppressLineNumbers w:val="0"/>
        <w:spacing w:before="0" w:beforeAutospacing="0" w:after="6" w:afterAutospacing="0" w:line="261" w:lineRule="auto"/>
        <w:ind w:left="569" w:right="0" w:hanging="10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color w:val="000000"/>
          <w:kern w:val="2"/>
          <w:sz w:val="28"/>
          <w:szCs w:val="22"/>
          <w:lang w:val="en-US" w:eastAsia="zh-CN" w:bidi="ar"/>
        </w:rPr>
        <w:t>4.</w:t>
      </w:r>
      <w:r>
        <w:rPr>
          <w:rFonts w:hint="eastAsia" w:ascii="微软雅黑" w:hAnsi="微软雅黑" w:eastAsia="微软雅黑" w:cs="微软雅黑"/>
          <w:color w:val="000000"/>
          <w:kern w:val="2"/>
          <w:sz w:val="28"/>
          <w:szCs w:val="22"/>
          <w:lang w:val="en-US" w:eastAsia="zh-CN" w:bidi="ar"/>
        </w:rPr>
        <w:t>市直卫生系统包括市卫健委所属事业单位，牵头部门为市卫健委。</w:t>
      </w:r>
    </w:p>
    <w:p>
      <w:pPr>
        <w:keepNext w:val="0"/>
        <w:keepLines w:val="0"/>
        <w:widowControl/>
        <w:suppressLineNumbers w:val="0"/>
        <w:spacing w:before="0" w:beforeAutospacing="0" w:after="6" w:afterAutospacing="0" w:line="261" w:lineRule="auto"/>
        <w:ind w:left="569" w:right="0" w:hanging="10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color w:val="000000"/>
          <w:kern w:val="2"/>
          <w:sz w:val="28"/>
          <w:szCs w:val="22"/>
          <w:lang w:val="en-US" w:eastAsia="zh-CN" w:bidi="ar"/>
        </w:rPr>
        <w:t>5.</w:t>
      </w:r>
      <w:r>
        <w:rPr>
          <w:rFonts w:hint="eastAsia" w:ascii="微软雅黑" w:hAnsi="微软雅黑" w:eastAsia="微软雅黑" w:cs="微软雅黑"/>
          <w:color w:val="000000"/>
          <w:kern w:val="2"/>
          <w:sz w:val="28"/>
          <w:szCs w:val="22"/>
          <w:lang w:val="en-US" w:eastAsia="zh-CN" w:bidi="ar"/>
        </w:rPr>
        <w:t>国资系统包括市属国有企业，牵头部门为市国资委。</w:t>
      </w:r>
    </w:p>
    <w:p>
      <w:pPr>
        <w:keepNext w:val="0"/>
        <w:keepLines w:val="0"/>
        <w:widowControl/>
        <w:suppressLineNumbers w:val="0"/>
        <w:spacing w:before="0" w:beforeAutospacing="0" w:after="6" w:afterAutospacing="0" w:line="261" w:lineRule="auto"/>
        <w:ind w:left="-15" w:right="0" w:firstLine="559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color w:val="000000"/>
          <w:kern w:val="2"/>
          <w:sz w:val="28"/>
          <w:szCs w:val="22"/>
          <w:lang w:val="en-US" w:eastAsia="zh-CN" w:bidi="ar"/>
        </w:rPr>
        <w:t>6.</w:t>
      </w:r>
      <w:r>
        <w:rPr>
          <w:rFonts w:hint="eastAsia" w:ascii="微软雅黑" w:hAnsi="微软雅黑" w:eastAsia="微软雅黑" w:cs="微软雅黑"/>
          <w:color w:val="000000"/>
          <w:kern w:val="2"/>
          <w:sz w:val="28"/>
          <w:szCs w:val="22"/>
          <w:lang w:val="en-US" w:eastAsia="zh-CN" w:bidi="ar"/>
        </w:rPr>
        <w:t>市属高校包括南通理工学院、南通职业大学、南通科技职业学院、南通师范高等专科学校、南通开放大学等，牵头部门为市委教育工委。</w:t>
      </w:r>
    </w:p>
    <w:p>
      <w:pPr>
        <w:keepNext w:val="0"/>
        <w:keepLines w:val="0"/>
        <w:widowControl/>
        <w:suppressLineNumbers w:val="0"/>
        <w:spacing w:before="0" w:beforeAutospacing="0" w:after="6" w:afterAutospacing="0" w:line="261" w:lineRule="auto"/>
        <w:ind w:left="-15" w:right="0" w:firstLine="559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color w:val="000000"/>
          <w:kern w:val="2"/>
          <w:sz w:val="28"/>
          <w:szCs w:val="22"/>
          <w:lang w:val="en-US" w:eastAsia="zh-CN" w:bidi="ar"/>
        </w:rPr>
        <w:t>7.“</w:t>
      </w:r>
      <w:r>
        <w:rPr>
          <w:rFonts w:hint="eastAsia" w:ascii="微软雅黑" w:hAnsi="微软雅黑" w:eastAsia="微软雅黑" w:cs="微软雅黑"/>
          <w:color w:val="000000"/>
          <w:kern w:val="2"/>
          <w:sz w:val="28"/>
          <w:szCs w:val="22"/>
          <w:lang w:val="en-US" w:eastAsia="zh-CN" w:bidi="ar"/>
        </w:rPr>
        <w:t>其他</w:t>
      </w:r>
      <w:r>
        <w:rPr>
          <w:rFonts w:hint="default" w:ascii="Times New Roman" w:hAnsi="Times New Roman" w:eastAsia="Times New Roman" w:cs="Times New Roman"/>
          <w:color w:val="000000"/>
          <w:kern w:val="2"/>
          <w:sz w:val="28"/>
          <w:szCs w:val="22"/>
          <w:lang w:val="en-US" w:eastAsia="zh-CN" w:bidi="ar"/>
        </w:rPr>
        <w:t>”</w:t>
      </w:r>
      <w:r>
        <w:rPr>
          <w:rFonts w:hint="eastAsia" w:ascii="微软雅黑" w:hAnsi="微软雅黑" w:eastAsia="微软雅黑" w:cs="微软雅黑"/>
          <w:color w:val="000000"/>
          <w:kern w:val="2"/>
          <w:sz w:val="28"/>
          <w:szCs w:val="22"/>
          <w:lang w:val="en-US" w:eastAsia="zh-CN" w:bidi="ar"/>
        </w:rPr>
        <w:t>是指以上未涉及的包括政法、交通、金融系统等部门下属企事业单位，由所属部门推荐</w:t>
      </w:r>
      <w:r>
        <w:rPr>
          <w:rFonts w:hint="default" w:ascii="Times New Roman" w:hAnsi="Times New Roman" w:eastAsia="Times New Roman" w:cs="Times New Roman"/>
          <w:color w:val="000000"/>
          <w:kern w:val="2"/>
          <w:sz w:val="28"/>
          <w:szCs w:val="22"/>
          <w:lang w:val="en-US" w:eastAsia="zh-CN" w:bidi="ar"/>
        </w:rPr>
        <w:t>1-2</w:t>
      </w:r>
      <w:r>
        <w:rPr>
          <w:rFonts w:hint="eastAsia" w:ascii="微软雅黑" w:hAnsi="微软雅黑" w:eastAsia="微软雅黑" w:cs="微软雅黑"/>
          <w:color w:val="000000"/>
          <w:kern w:val="2"/>
          <w:sz w:val="28"/>
          <w:szCs w:val="22"/>
          <w:lang w:val="en-US" w:eastAsia="zh-CN" w:bidi="ar"/>
        </w:rPr>
        <w:t>名人选。</w:t>
      </w:r>
    </w:p>
    <w:p>
      <w:pPr>
        <w:keepNext w:val="0"/>
        <w:keepLines w:val="0"/>
        <w:widowControl/>
        <w:suppressLineNumbers w:val="0"/>
        <w:spacing w:before="0" w:beforeAutospacing="0" w:after="6" w:afterAutospacing="0" w:line="261" w:lineRule="auto"/>
        <w:ind w:left="569" w:right="0" w:hanging="10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color w:val="000000"/>
          <w:kern w:val="2"/>
          <w:sz w:val="28"/>
          <w:szCs w:val="22"/>
          <w:lang w:val="en-US" w:eastAsia="zh-CN" w:bidi="ar"/>
        </w:rPr>
        <w:t>8.</w:t>
      </w:r>
      <w:r>
        <w:rPr>
          <w:rFonts w:hint="eastAsia" w:ascii="微软雅黑" w:hAnsi="微软雅黑" w:eastAsia="微软雅黑" w:cs="微软雅黑"/>
          <w:color w:val="000000"/>
          <w:kern w:val="2"/>
          <w:sz w:val="28"/>
          <w:szCs w:val="22"/>
          <w:lang w:val="en-US" w:eastAsia="zh-CN" w:bidi="ar"/>
        </w:rPr>
        <w:t>原市直企业纳入所在地推荐范围。</w:t>
      </w:r>
    </w:p>
    <w:p>
      <w:pPr>
        <w:keepNext w:val="0"/>
        <w:keepLines w:val="0"/>
        <w:widowControl/>
        <w:suppressLineNumbers w:val="0"/>
        <w:spacing w:before="0" w:beforeAutospacing="0" w:after="6" w:afterAutospacing="0" w:line="261" w:lineRule="auto"/>
        <w:ind w:left="-15" w:right="0" w:firstLine="559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color w:val="000000"/>
          <w:kern w:val="2"/>
          <w:sz w:val="28"/>
          <w:szCs w:val="22"/>
          <w:lang w:val="en-US" w:eastAsia="zh-CN" w:bidi="ar"/>
        </w:rPr>
        <w:t>9.</w:t>
      </w:r>
      <w:r>
        <w:rPr>
          <w:rFonts w:hint="eastAsia" w:ascii="微软雅黑" w:hAnsi="微软雅黑" w:eastAsia="微软雅黑" w:cs="微软雅黑"/>
          <w:color w:val="000000"/>
          <w:kern w:val="2"/>
          <w:sz w:val="28"/>
          <w:szCs w:val="22"/>
          <w:lang w:val="en-US" w:eastAsia="zh-CN" w:bidi="ar"/>
        </w:rPr>
        <w:t>推荐名额包含举荐名额，举荐名额原则上各县（市）区</w:t>
      </w:r>
      <w:r>
        <w:rPr>
          <w:rFonts w:hint="default" w:ascii="Times New Roman" w:hAnsi="Times New Roman" w:eastAsia="Times New Roman" w:cs="Times New Roman"/>
          <w:color w:val="000000"/>
          <w:kern w:val="2"/>
          <w:sz w:val="28"/>
          <w:szCs w:val="22"/>
          <w:lang w:val="en-US" w:eastAsia="zh-CN" w:bidi="ar"/>
        </w:rPr>
        <w:t>1-2</w:t>
      </w:r>
      <w:r>
        <w:rPr>
          <w:rFonts w:hint="eastAsia" w:ascii="微软雅黑" w:hAnsi="微软雅黑" w:eastAsia="微软雅黑" w:cs="微软雅黑"/>
          <w:color w:val="000000"/>
          <w:kern w:val="2"/>
          <w:sz w:val="28"/>
          <w:szCs w:val="22"/>
          <w:lang w:val="en-US" w:eastAsia="zh-CN" w:bidi="ar"/>
        </w:rPr>
        <w:t>个、市相关牵头部门不超过</w:t>
      </w:r>
      <w:r>
        <w:rPr>
          <w:rFonts w:hint="default" w:ascii="Times New Roman" w:hAnsi="Times New Roman" w:eastAsia="Times New Roman" w:cs="Times New Roman"/>
          <w:color w:val="000000"/>
          <w:kern w:val="2"/>
          <w:sz w:val="28"/>
          <w:szCs w:val="22"/>
          <w:lang w:val="en-US" w:eastAsia="zh-CN" w:bidi="ar"/>
        </w:rPr>
        <w:t>3</w:t>
      </w:r>
      <w:r>
        <w:rPr>
          <w:rFonts w:hint="eastAsia" w:ascii="微软雅黑" w:hAnsi="微软雅黑" w:eastAsia="微软雅黑" w:cs="微软雅黑"/>
          <w:color w:val="000000"/>
          <w:kern w:val="2"/>
          <w:sz w:val="28"/>
          <w:szCs w:val="22"/>
          <w:lang w:val="en-US" w:eastAsia="zh-CN" w:bidi="ar"/>
        </w:rPr>
        <w:t>个。</w:t>
      </w:r>
    </w:p>
    <w:p>
      <w:pPr>
        <w:keepNext w:val="0"/>
        <w:keepLines w:val="0"/>
        <w:widowControl/>
        <w:suppressLineNumbers w:val="0"/>
        <w:spacing w:before="0" w:beforeAutospacing="0" w:after="6" w:afterAutospacing="0" w:line="261" w:lineRule="auto"/>
        <w:ind w:left="569" w:right="0" w:hanging="10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color w:val="000000"/>
          <w:kern w:val="2"/>
          <w:sz w:val="28"/>
          <w:szCs w:val="22"/>
          <w:lang w:val="en-US" w:eastAsia="zh-CN" w:bidi="ar"/>
        </w:rPr>
        <w:t>10.</w:t>
      </w:r>
      <w:r>
        <w:rPr>
          <w:rFonts w:hint="eastAsia" w:ascii="微软雅黑" w:hAnsi="微软雅黑" w:eastAsia="微软雅黑" w:cs="微软雅黑"/>
          <w:color w:val="000000"/>
          <w:kern w:val="2"/>
          <w:sz w:val="28"/>
          <w:szCs w:val="22"/>
          <w:lang w:val="en-US" w:eastAsia="zh-CN" w:bidi="ar"/>
        </w:rPr>
        <w:t>按</w:t>
      </w:r>
      <w:r>
        <w:rPr>
          <w:rFonts w:hint="default" w:ascii="Times New Roman" w:hAnsi="Times New Roman" w:eastAsia="Times New Roman" w:cs="Times New Roman"/>
          <w:color w:val="000000"/>
          <w:kern w:val="2"/>
          <w:sz w:val="28"/>
          <w:szCs w:val="22"/>
          <w:lang w:val="en-US" w:eastAsia="zh-CN" w:bidi="ar"/>
        </w:rPr>
        <w:t>1:1</w:t>
      </w:r>
      <w:r>
        <w:rPr>
          <w:rFonts w:hint="eastAsia" w:ascii="微软雅黑" w:hAnsi="微软雅黑" w:eastAsia="微软雅黑" w:cs="微软雅黑"/>
          <w:color w:val="000000"/>
          <w:kern w:val="2"/>
          <w:sz w:val="28"/>
          <w:szCs w:val="22"/>
          <w:lang w:val="en-US" w:eastAsia="zh-CN" w:bidi="ar"/>
        </w:rPr>
        <w:t>比例上报，不得超报，对超报部分不纳入评审。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FangSong">
    <w:altName w:val="宋体"/>
    <w:panose1 w:val="00000000000000000000"/>
    <w:charset w:val="86"/>
    <w:family w:val="auto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F2F27"/>
    <w:rsid w:val="0F0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widowControl/>
      <w:suppressLineNumbers w:val="0"/>
      <w:spacing w:before="0" w:beforeAutospacing="0" w:after="123" w:afterAutospacing="0" w:line="256" w:lineRule="auto"/>
      <w:ind w:left="651" w:right="0" w:hanging="10"/>
      <w:jc w:val="left"/>
      <w:outlineLvl w:val="0"/>
    </w:pPr>
    <w:rPr>
      <w:rFonts w:hint="eastAsia" w:ascii="黑体" w:hAnsi="宋体" w:eastAsia="黑体" w:cs="黑体"/>
      <w:color w:val="000000"/>
      <w:kern w:val="2"/>
      <w:sz w:val="32"/>
      <w:szCs w:val="22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uiPriority w:val="0"/>
    <w:rPr>
      <w:rFonts w:hint="eastAsia" w:ascii="黑体" w:hAnsi="宋体" w:eastAsia="黑体" w:cs="黑体"/>
      <w:color w:val="000000"/>
      <w:sz w:val="32"/>
    </w:rPr>
  </w:style>
  <w:style w:type="table" w:customStyle="1" w:styleId="6">
    <w:name w:val="TableGrid"/>
    <w:basedOn w:val="3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2021-10-29T06:45:00Z</dcterms:created>
  <dc:creator>~~~~</dc:creator>
  <cp:lastModifiedBy>~~~~</cp:lastModifiedBy>
  <dcterms:modified xsi:type="dcterms:W3CDTF">2021-10-29T06:46:13Z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94D027C21584422AA240FC429FF8AA45</vt:lpwstr>
  </property>
</Properties>
</file>